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b/>
          <w:color w:val="000000"/>
          <w:sz w:val="22"/>
        </w:rPr>
        <w:t>Политика обработки персональных данных 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b/>
          <w:color w:val="000000"/>
          <w:sz w:val="22"/>
        </w:rPr>
        <w:t>и конфиденциальности «</w:t>
      </w:r>
      <w:r w:rsidR="006D54CE">
        <w:rPr>
          <w:rFonts w:ascii="Caladea" w:eastAsia="Caladea" w:hAnsi="Caladea" w:cs="Caladea"/>
          <w:b/>
          <w:color w:val="000000"/>
          <w:sz w:val="22"/>
          <w:lang w:val="en-US"/>
        </w:rPr>
        <w:t>Harmony</w:t>
      </w:r>
      <w:bookmarkStart w:id="0" w:name="_GoBack"/>
      <w:bookmarkEnd w:id="0"/>
      <w:r>
        <w:rPr>
          <w:rFonts w:ascii="Caladea" w:eastAsia="Caladea" w:hAnsi="Caladea" w:cs="Caladea"/>
          <w:b/>
          <w:color w:val="000000"/>
          <w:sz w:val="22"/>
        </w:rPr>
        <w:t>»</w:t>
      </w:r>
    </w:p>
    <w:p w:rsidR="00226939" w:rsidRDefault="0022693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Caladea" w:hAnsi="Caladea" w:cs="Caladea"/>
        </w:rPr>
      </w:pP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 xml:space="preserve">Настоящая Политика обработки персональных данных и конфиденциальности (далее - Политика) является неотъемлемой частью Пользовательского соглашения, размещенного на Веб-сайте под доменным именем </w:t>
      </w:r>
      <w:r w:rsidR="006D54CE">
        <w:rPr>
          <w:rFonts w:ascii="Caladea" w:eastAsia="Caladea" w:hAnsi="Caladea" w:cs="Caladea"/>
          <w:color w:val="000000"/>
          <w:sz w:val="22"/>
          <w:lang w:val="en-US"/>
        </w:rPr>
        <w:t>aharmony</w:t>
      </w:r>
      <w:r w:rsidR="006D54CE" w:rsidRPr="006D54CE">
        <w:rPr>
          <w:rFonts w:ascii="Caladea" w:eastAsia="Caladea" w:hAnsi="Caladea" w:cs="Caladea"/>
          <w:color w:val="000000"/>
          <w:sz w:val="22"/>
        </w:rPr>
        <w:t>.</w:t>
      </w:r>
      <w:r w:rsidR="006D54CE">
        <w:rPr>
          <w:rFonts w:ascii="Caladea" w:eastAsia="Caladea" w:hAnsi="Caladea" w:cs="Caladea"/>
          <w:color w:val="000000"/>
          <w:sz w:val="22"/>
          <w:lang w:val="en-US"/>
        </w:rPr>
        <w:t>ru</w:t>
      </w:r>
      <w:r>
        <w:rPr>
          <w:rFonts w:ascii="Caladea" w:eastAsia="Caladea" w:hAnsi="Caladea" w:cs="Caladea"/>
          <w:color w:val="000000"/>
          <w:sz w:val="22"/>
        </w:rPr>
        <w:t xml:space="preserve"> (далее - Сервис) и регулирует правоотношения по обработке персональных данных между пользователем и Компанией.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Использование сервисов означает безоговорочное согласие Пользователя с настоящей Политикой и указанными в ней условиями обработки его персональной информации, в случае несогласия с этими условиями Пользователь должен воздержаться от использования сервисов.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 xml:space="preserve">Компания вправе вносить в настоящую Политику изменения по своему усмотрению, в том числе, но не ограничиваясь, в случаях, когда соответствующие изменения связаны с изменениями в применимом законодательстве, а также когда соответствующие изменения связаны с изменениями в работе </w:t>
      </w:r>
      <w:r w:rsidR="00EA5BD0">
        <w:rPr>
          <w:rFonts w:ascii="Caladea" w:eastAsia="Caladea" w:hAnsi="Caladea" w:cs="Caladea"/>
          <w:color w:val="000000"/>
          <w:sz w:val="22"/>
        </w:rPr>
        <w:t>Сервиса</w:t>
      </w:r>
      <w:r>
        <w:rPr>
          <w:rFonts w:ascii="Caladea" w:eastAsia="Caladea" w:hAnsi="Caladea" w:cs="Caladea"/>
          <w:color w:val="000000"/>
          <w:sz w:val="22"/>
        </w:rPr>
        <w:t>. Клиент обязуется самостоятельно контролировать наличие изменений, новая реакции Политики вступает в силу с момента ее размещения, если иное не предусмотрено новой редакцией Политики.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Caladea" w:hAnsi="Caladea" w:cs="Caladea"/>
        </w:rPr>
      </w:pPr>
      <w:r>
        <w:rPr>
          <w:rFonts w:ascii="Caladea" w:eastAsia="Caladea" w:hAnsi="Caladea" w:cs="Caladea"/>
        </w:rPr>
        <w:br/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1. Общие положения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1.1. В рамках настоящей Политики под персональной информацией Пользователя понимаются: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 xml:space="preserve">1.1.1. Персональная информация, которую Пользователь предоставляет о себе самостоятельно при регистрации (учетные данные) или в процессе использования </w:t>
      </w:r>
      <w:r w:rsidR="00EA5BD0">
        <w:rPr>
          <w:rFonts w:ascii="Caladea" w:eastAsia="Caladea" w:hAnsi="Caladea" w:cs="Caladea"/>
          <w:color w:val="000000"/>
          <w:sz w:val="22"/>
        </w:rPr>
        <w:t>Сервиса</w:t>
      </w:r>
      <w:r>
        <w:rPr>
          <w:rFonts w:ascii="Caladea" w:eastAsia="Caladea" w:hAnsi="Caladea" w:cs="Caladea"/>
          <w:color w:val="000000"/>
          <w:sz w:val="22"/>
        </w:rPr>
        <w:t>, включая персональные данные Пользователя.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1.1.2. Данные, которые автоматически передаются сервисам сайта и мобильного приложения в процессе их использования с помощью установленного на устройстве Пользователя программного обеспечения, в том числе IP-адрес, данные файлов cookie, информация о браузере Пользователя (или иной программе, с помощью которой осуществляется доступ к сервисам), технические характеристики оборудования и программного обеспечения, используемых Пользователем, дата и время доступа к сервисам, адреса запрашиваемых страниц и иная подобная информация.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 xml:space="preserve">1.2. Настоящая Политика не регулирует, не контролирует и не несет ответственности за сайты третьих лиц, на которые Пользователь может перейти по ссылкам, доступным на </w:t>
      </w:r>
      <w:r w:rsidR="00EA5BD0">
        <w:rPr>
          <w:rFonts w:ascii="Caladea" w:eastAsia="Caladea" w:hAnsi="Caladea" w:cs="Caladea"/>
          <w:color w:val="000000"/>
          <w:sz w:val="22"/>
        </w:rPr>
        <w:t>Сервисе</w:t>
      </w:r>
      <w:r>
        <w:rPr>
          <w:rFonts w:ascii="Caladea" w:eastAsia="Caladea" w:hAnsi="Caladea" w:cs="Caladea"/>
          <w:color w:val="000000"/>
          <w:sz w:val="22"/>
        </w:rPr>
        <w:t>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Caladea" w:hAnsi="Caladea" w:cs="Caladea"/>
        </w:rPr>
      </w:pPr>
      <w:r>
        <w:rPr>
          <w:rFonts w:ascii="Caladea" w:eastAsia="Caladea" w:hAnsi="Caladea" w:cs="Caladea"/>
        </w:rPr>
        <w:br/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2. Цели обработки персональной информации Пользователей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2.1. Сбору и хранению подлежит только та персональная информация, которая необходима для предоставления сервисов или исполнения соглашений и договоров с Пользователем, за исключением случаев, когда законодательством предусмотрено обязательное хранение персональной информации в течение определенного законом срока.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2.2. Персональная информация Пользователя обрабатывается в следующих целях: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 xml:space="preserve">2.2.1. Оказания услуг при использовании </w:t>
      </w:r>
      <w:r w:rsidR="00EA5BD0">
        <w:rPr>
          <w:rFonts w:ascii="Caladea" w:eastAsia="Caladea" w:hAnsi="Caladea" w:cs="Caladea"/>
          <w:color w:val="000000"/>
          <w:sz w:val="22"/>
        </w:rPr>
        <w:t>Сервиса</w:t>
      </w:r>
      <w:r>
        <w:rPr>
          <w:rFonts w:ascii="Caladea" w:eastAsia="Caladea" w:hAnsi="Caladea" w:cs="Caladea"/>
          <w:color w:val="000000"/>
          <w:sz w:val="22"/>
        </w:rPr>
        <w:t>. 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 xml:space="preserve">2.2.2. Идентификации Пользователя, зарегистрированного на </w:t>
      </w:r>
      <w:r w:rsidR="00EA5BD0">
        <w:rPr>
          <w:rFonts w:ascii="Caladea" w:eastAsia="Caladea" w:hAnsi="Caladea" w:cs="Caladea"/>
          <w:color w:val="000000"/>
          <w:sz w:val="22"/>
        </w:rPr>
        <w:t>Сервисе</w:t>
      </w:r>
      <w:r>
        <w:rPr>
          <w:rFonts w:ascii="Caladea" w:eastAsia="Caladea" w:hAnsi="Caladea" w:cs="Caladea"/>
          <w:color w:val="000000"/>
          <w:sz w:val="22"/>
        </w:rPr>
        <w:t>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 xml:space="preserve">2.2.3. Предоставления Пользователю доступа к персонализированным ресурсам </w:t>
      </w:r>
      <w:r w:rsidR="00EA5BD0">
        <w:rPr>
          <w:rFonts w:ascii="Caladea" w:eastAsia="Caladea" w:hAnsi="Caladea" w:cs="Caladea"/>
          <w:color w:val="000000"/>
          <w:sz w:val="22"/>
        </w:rPr>
        <w:t>Сервиса</w:t>
      </w:r>
      <w:r>
        <w:rPr>
          <w:rFonts w:ascii="Caladea" w:eastAsia="Caladea" w:hAnsi="Caladea" w:cs="Caladea"/>
          <w:color w:val="000000"/>
          <w:sz w:val="22"/>
        </w:rPr>
        <w:t>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 xml:space="preserve">2.2.4. Установления с Пользователем обратной связи, включая направление уведомлений, запросов, касающихся использования </w:t>
      </w:r>
      <w:r w:rsidR="00EA5BD0">
        <w:rPr>
          <w:rFonts w:ascii="Caladea" w:eastAsia="Caladea" w:hAnsi="Caladea" w:cs="Caladea"/>
          <w:color w:val="000000"/>
          <w:sz w:val="22"/>
        </w:rPr>
        <w:t>Сервиса</w:t>
      </w:r>
      <w:r>
        <w:rPr>
          <w:rFonts w:ascii="Caladea" w:eastAsia="Caladea" w:hAnsi="Caladea" w:cs="Caladea"/>
          <w:color w:val="000000"/>
          <w:sz w:val="22"/>
        </w:rPr>
        <w:t>, оказания услуг, обработку запросов и заявок от Пользователя.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2.2.5. Подтверждения достоверности и полноты персональных данных, предоставленных Пользователем.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2.2.6. Уведомления Пользователя об оказанных услугах, включая информацию о промо-предложениях и проводимых Компанией акциях.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lastRenderedPageBreak/>
        <w:t>2.2.7. Перечень обрабатываемых персональных данных включает в себя: фамилия, имя, отчество, дата рождения, пол, номер мобильного телефона, адрес электронной почты, адрес местонахождения, иные предоставленные Пользователем для оказания услуг и пользования Сервисами.  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Caladea" w:hAnsi="Caladea" w:cs="Caladea"/>
        </w:rPr>
      </w:pPr>
      <w:r>
        <w:rPr>
          <w:rFonts w:ascii="Caladea" w:eastAsia="Caladea" w:hAnsi="Caladea" w:cs="Caladea"/>
        </w:rPr>
        <w:br/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3. Условия обработки персональной информации Пользователей 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и ее передача третьим лицам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3.1. Обработка персональных данных Пользователей осуществляется в соответствии с Федеральным законом от 27.07.2006 № 152-ФЗ "О персональных данных" следующими способами: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данных, в том числе в информационных системах персональных данных с использованием средств автоматизации или без использования таких средств. 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3.2. 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 При использовании отдельных сервисов Пользователь соглашается с тем, что определенная часть его персональной информации становится общедоступной.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3.3. Пользователь выразил согласие на передачу персональной информации Пользователя третьим лицам в следующих случаях: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3.3.1. необходимо для использования Пользователем определенного сервиса либо для исполнения определенного заказа, соглашения, договора в связи с оказанием услуг Пользователю.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3.3.2. предусмотрено российским или иным применимым законодательством в рамках установленной законодательством процедуры.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3.3.3. при продаже или иной передачи бизнеса Компании (полностью или в части), при этом к приобретателю переходят все обязательства по соблюдению Политики.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3.3.4. для обеспечения защиты прав и законных интересов Пользователей, Компании или третьих лиц.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3.4. Компания не проверяет достоверность персональной информации, предоставляемой Пользователями и при оказании услуг исходит из того, что Пользователь предоставляет достоверную и достаточную персональную информацию, и поддерживает эту информацию в актуальном состоянии.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3.5. Компания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  <w:color w:val="000000"/>
          <w:sz w:val="22"/>
          <w:szCs w:val="22"/>
        </w:rPr>
      </w:pPr>
      <w:r>
        <w:rPr>
          <w:rFonts w:ascii="Caladea" w:eastAsia="Caladea" w:hAnsi="Caladea" w:cs="Caladea"/>
          <w:color w:val="000000"/>
          <w:sz w:val="22"/>
        </w:rPr>
        <w:t>3.6. Компания вправе произвести блокировку, исключение, удаление информации, размещенной Пользователем, без согласия последнего, если такая информация не отвечает требованиям действующего законодательства Российской Федерации и положениям настоящей Политики.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  <w:sz w:val="22"/>
          <w:szCs w:val="22"/>
        </w:rPr>
      </w:pPr>
      <w:r>
        <w:rPr>
          <w:rFonts w:ascii="Caladea" w:eastAsia="Caladea" w:hAnsi="Caladea" w:cs="Caladea"/>
          <w:color w:val="222222"/>
          <w:sz w:val="22"/>
          <w:szCs w:val="22"/>
          <w:highlight w:val="white"/>
        </w:rPr>
        <w:t>3.7. Компания обязуется прекратить обработку персональных данных Пользователя или обеспечить ее прекращение (если обработка персональных данных осуществляется другим лицом, действующим по поручению Компании) и уничтожить персональные данные или обеспечить их уничтожение (если обработка персональных данных осуществляется другим лицом, действующим по поручению) в срок, не превышающий тридцати дней с даты достижения цели обработки персональных данных, если иное не предусмотрено соглашением сторон или требованиями законодательства.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Caladea" w:hAnsi="Caladea" w:cs="Caladea"/>
        </w:rPr>
      </w:pPr>
      <w:r>
        <w:rPr>
          <w:rFonts w:ascii="Caladea" w:eastAsia="Caladea" w:hAnsi="Caladea" w:cs="Caladea"/>
        </w:rPr>
        <w:br/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 Права и обязательства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4.1. Пользователь обязан: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lastRenderedPageBreak/>
        <w:t>4.1.1. Предоставить информацию о персональных данных, необходимую для пользования услугами и Сервисами.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4.1.2. Обновлять, дополнять предоставленную информацию о персональных данных в случае изменения данной информации.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4.2. Компания обязана: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4.2.1. Использовать полученную информацию исключительно для целей, указанных в настоящей Политике.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 либо разглашение иными возможными способами переданных персональных данных Пользователя, за исключением случаев предусмотренных настоящей Политикой.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4.2.3. Осуществить блокирование персональных данных, относящихся к соответствующему Пользователю, с момента обращения или запроса Пользователя,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4.3. Пользователь имеет право: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4.3.1. На получение информации, касающейся обработки его персональных данных, в соответствии с Федеральным законом от 27.07.2006 № 152-ФЗ "О персональных данных".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4.3.2. Требовать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4.3.3. Направить в адрес Компании уведомление об отзыве согласия на обработку персональных данных.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4.4. Компания имеет право: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4.4.1. Самостоятельно определять состав и перечень мер, необходимых и достаточных для обеспечения выполнения обязанностей, предусмотренных Федеральным законом от 27.07.2006 № 152-ФЗ "О персональных данных" и принятыми в соответствии с ним нормативными правовыми актами или другими федеральными законами.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4.4.2. Поручить обработку персональных данных другому лицу с согласия Пользователя, если иное не предусмотрено Федеральным законом от 27.07.2006 № 152-ФЗ "О персональных данных".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4.4.3.  Продолжить обработку персональных данных случае отзыва без согласия Пользователя при наличии оснований, указанных в Федеральном законе от 27.07.2006 № 152-ФЗ "О персональных данных".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Caladea" w:hAnsi="Caladea" w:cs="Caladea"/>
        </w:rPr>
      </w:pPr>
      <w:r>
        <w:rPr>
          <w:rFonts w:ascii="Caladea" w:eastAsia="Caladea" w:hAnsi="Caladea" w:cs="Caladea"/>
        </w:rPr>
        <w:br/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5. Ответственность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5.1. Лицо, не исполнившее свои обязательства, несет ответственность за убытки в связи с неправомерным использованием персональных данных, в соответствии с законодательством Российской Федерации.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5.2. Компания не несет ответственность за утрату или разглашение данных, если информация: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5.2.1. стала публичным достоянием до ее утраты или разглашения.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5.2.2. была получена от третьей стороны до момента ее получения Компанией.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rFonts w:ascii="Caladea" w:eastAsia="Caladea" w:hAnsi="Caladea" w:cs="Caladea"/>
          <w:color w:val="000000"/>
          <w:sz w:val="22"/>
        </w:rPr>
        <w:t>5.2.3. была разглашена с согласия Пользователя.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br/>
      </w:r>
      <w:r>
        <w:br/>
      </w:r>
      <w:r>
        <w:rPr>
          <w:rFonts w:ascii="Caladea" w:eastAsia="Caladea" w:hAnsi="Caladea" w:cs="Caladea"/>
          <w:color w:val="000000"/>
          <w:sz w:val="22"/>
        </w:rPr>
        <w:t>6. Иное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68" w:lineRule="atLeast"/>
        <w:jc w:val="both"/>
        <w:rPr>
          <w:rFonts w:ascii="Caladea" w:hAnsi="Caladea" w:cs="Caladea"/>
          <w:sz w:val="22"/>
          <w:szCs w:val="22"/>
        </w:rPr>
      </w:pPr>
      <w:r>
        <w:rPr>
          <w:rFonts w:ascii="Caladea" w:eastAsia="Caladea" w:hAnsi="Caladea" w:cs="Caladea"/>
          <w:color w:val="000000"/>
          <w:sz w:val="22"/>
          <w:szCs w:val="22"/>
        </w:rPr>
        <w:t>6.1 Яндекс. Метрика. На Сайте используется программа ООО "ЯНДЕКС". С ее помощью осуществляется сбор анонимных данных о посещениях сайтов (без привязки к персональным данным посетителей сайта) с целью лучшего понимания поведения и улучшения сайтов: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68" w:lineRule="atLeast"/>
        <w:jc w:val="both"/>
        <w:rPr>
          <w:rFonts w:ascii="Caladea" w:hAnsi="Caladea" w:cs="Caladea"/>
          <w:color w:val="000000"/>
          <w:sz w:val="22"/>
          <w:szCs w:val="22"/>
        </w:rPr>
      </w:pPr>
      <w:r>
        <w:rPr>
          <w:rFonts w:ascii="Caladea" w:eastAsia="Caladea" w:hAnsi="Caladea" w:cs="Caladea"/>
          <w:color w:val="000000"/>
          <w:sz w:val="22"/>
          <w:szCs w:val="22"/>
        </w:rPr>
        <w:lastRenderedPageBreak/>
        <w:t>6.1.1. электронные данные (HTTP-заголовки, IP-адрес, файлы cookie, веб-маяки/пиксельные теги, данные об идентификаторе браузера, информация об аппаратном и программном обеспечении);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68" w:lineRule="atLeast"/>
        <w:jc w:val="both"/>
        <w:rPr>
          <w:rFonts w:ascii="Caladea" w:hAnsi="Caladea" w:cs="Caladea"/>
          <w:sz w:val="22"/>
          <w:szCs w:val="22"/>
        </w:rPr>
      </w:pPr>
      <w:r>
        <w:rPr>
          <w:rFonts w:ascii="Caladea" w:eastAsia="Caladea" w:hAnsi="Caladea" w:cs="Caladea"/>
          <w:color w:val="000000"/>
          <w:sz w:val="22"/>
          <w:szCs w:val="22"/>
        </w:rPr>
        <w:t>6.1.2. дата и время осуществления доступа к сайтам и/или сервисам Яндекс;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68" w:lineRule="atLeast"/>
        <w:jc w:val="both"/>
        <w:rPr>
          <w:rFonts w:ascii="Caladea" w:hAnsi="Caladea" w:cs="Caladea"/>
          <w:sz w:val="22"/>
          <w:szCs w:val="22"/>
        </w:rPr>
      </w:pPr>
      <w:r>
        <w:rPr>
          <w:rFonts w:ascii="Caladea" w:eastAsia="Caladea" w:hAnsi="Caladea" w:cs="Caladea"/>
          <w:color w:val="000000"/>
          <w:sz w:val="22"/>
          <w:szCs w:val="22"/>
        </w:rPr>
        <w:t>6.1.3. информация о вашей активности во время использования сайтов и/или сервисов Яндекс;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68" w:lineRule="atLeast"/>
        <w:jc w:val="both"/>
        <w:rPr>
          <w:rFonts w:ascii="Caladea" w:hAnsi="Caladea" w:cs="Caladea"/>
          <w:sz w:val="22"/>
          <w:szCs w:val="22"/>
        </w:rPr>
      </w:pPr>
      <w:r>
        <w:rPr>
          <w:rFonts w:ascii="Caladea" w:eastAsia="Caladea" w:hAnsi="Caladea" w:cs="Caladea"/>
          <w:color w:val="000000"/>
          <w:sz w:val="22"/>
          <w:szCs w:val="22"/>
        </w:rPr>
        <w:t>6.1.4. информация о геолокации;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68" w:lineRule="atLeast"/>
        <w:jc w:val="both"/>
        <w:rPr>
          <w:rFonts w:ascii="Caladea" w:hAnsi="Caladea" w:cs="Caladea"/>
          <w:sz w:val="22"/>
          <w:szCs w:val="22"/>
        </w:rPr>
      </w:pPr>
      <w:r>
        <w:rPr>
          <w:rFonts w:ascii="Caladea" w:eastAsia="Caladea" w:hAnsi="Caladea" w:cs="Caladea"/>
          <w:color w:val="000000"/>
          <w:sz w:val="22"/>
          <w:szCs w:val="22"/>
        </w:rPr>
        <w:t>Для получения дополнительных сведений о сборе данных сервисом "Яндекс.Метрика" ознакомьтесь с документом "Условия использования сервиса Яндекс.Метрика" по адресу http://legal.yandex.ru/metrica_termsofuse/, а также "Политикой конфиденциальности персональной информации" этой компании по адресу: http://legal.yandex.ru/confidential/. </w:t>
      </w:r>
    </w:p>
    <w:p w:rsidR="00226939" w:rsidRDefault="00B8481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78" w:lineRule="atLeast"/>
        <w:rPr>
          <w:rFonts w:ascii="Caladea" w:hAnsi="Caladea" w:cs="Caladea"/>
        </w:rPr>
      </w:pPr>
      <w:r>
        <w:rPr>
          <w:sz w:val="22"/>
          <w:szCs w:val="22"/>
        </w:rPr>
        <w:br/>
      </w:r>
    </w:p>
    <w:p w:rsidR="00226939" w:rsidRDefault="0022693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2"/>
          <w:szCs w:val="22"/>
        </w:rPr>
      </w:pPr>
    </w:p>
    <w:sectPr w:rsidR="00226939" w:rsidSect="0022693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FE5" w:rsidRDefault="004F5FE5">
      <w:pPr>
        <w:spacing w:after="0" w:line="240" w:lineRule="auto"/>
      </w:pPr>
      <w:r>
        <w:separator/>
      </w:r>
    </w:p>
  </w:endnote>
  <w:endnote w:type="continuationSeparator" w:id="0">
    <w:p w:rsidR="004F5FE5" w:rsidRDefault="004F5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ladea">
    <w:altName w:val="Cambria Math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FE5" w:rsidRDefault="004F5FE5">
      <w:pPr>
        <w:spacing w:after="0" w:line="240" w:lineRule="auto"/>
      </w:pPr>
      <w:r>
        <w:separator/>
      </w:r>
    </w:p>
  </w:footnote>
  <w:footnote w:type="continuationSeparator" w:id="0">
    <w:p w:rsidR="004F5FE5" w:rsidRDefault="004F5F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B19B5"/>
    <w:multiLevelType w:val="hybridMultilevel"/>
    <w:tmpl w:val="D4C05760"/>
    <w:lvl w:ilvl="0" w:tplc="866EB12E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000000"/>
        <w:sz w:val="20"/>
      </w:rPr>
    </w:lvl>
    <w:lvl w:ilvl="1" w:tplc="D1F09458">
      <w:start w:val="1"/>
      <w:numFmt w:val="decimal"/>
      <w:lvlText w:val="%2."/>
      <w:lvlJc w:val="right"/>
      <w:pPr>
        <w:ind w:left="1429" w:hanging="360"/>
      </w:pPr>
    </w:lvl>
    <w:lvl w:ilvl="2" w:tplc="990E3228">
      <w:start w:val="1"/>
      <w:numFmt w:val="decimal"/>
      <w:lvlText w:val="%3."/>
      <w:lvlJc w:val="right"/>
      <w:pPr>
        <w:ind w:left="2149" w:hanging="180"/>
      </w:pPr>
    </w:lvl>
    <w:lvl w:ilvl="3" w:tplc="8E26C984">
      <w:start w:val="1"/>
      <w:numFmt w:val="decimal"/>
      <w:lvlText w:val="%4."/>
      <w:lvlJc w:val="right"/>
      <w:pPr>
        <w:ind w:left="2869" w:hanging="360"/>
      </w:pPr>
    </w:lvl>
    <w:lvl w:ilvl="4" w:tplc="6F1A9E76">
      <w:start w:val="1"/>
      <w:numFmt w:val="decimal"/>
      <w:lvlText w:val="%5."/>
      <w:lvlJc w:val="right"/>
      <w:pPr>
        <w:ind w:left="3589" w:hanging="360"/>
      </w:pPr>
    </w:lvl>
    <w:lvl w:ilvl="5" w:tplc="8604D442">
      <w:start w:val="1"/>
      <w:numFmt w:val="decimal"/>
      <w:lvlText w:val="%6."/>
      <w:lvlJc w:val="right"/>
      <w:pPr>
        <w:ind w:left="4309" w:hanging="180"/>
      </w:pPr>
    </w:lvl>
    <w:lvl w:ilvl="6" w:tplc="71AE90B4">
      <w:start w:val="1"/>
      <w:numFmt w:val="decimal"/>
      <w:lvlText w:val="%7."/>
      <w:lvlJc w:val="right"/>
      <w:pPr>
        <w:ind w:left="5029" w:hanging="360"/>
      </w:pPr>
    </w:lvl>
    <w:lvl w:ilvl="7" w:tplc="B3264DC8">
      <w:start w:val="1"/>
      <w:numFmt w:val="decimal"/>
      <w:lvlText w:val="%8."/>
      <w:lvlJc w:val="right"/>
      <w:pPr>
        <w:ind w:left="5749" w:hanging="360"/>
      </w:pPr>
    </w:lvl>
    <w:lvl w:ilvl="8" w:tplc="83A0FBB4">
      <w:start w:val="1"/>
      <w:numFmt w:val="decimal"/>
      <w:lvlText w:val="%9."/>
      <w:lvlJc w:val="right"/>
      <w:pPr>
        <w:ind w:left="6469" w:hanging="180"/>
      </w:pPr>
    </w:lvl>
  </w:abstractNum>
  <w:abstractNum w:abstractNumId="1" w15:restartNumberingAfterBreak="0">
    <w:nsid w:val="5D670932"/>
    <w:multiLevelType w:val="multilevel"/>
    <w:tmpl w:val="EF7C0944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573" w:hanging="504"/>
      </w:pPr>
    </w:lvl>
    <w:lvl w:ilvl="3">
      <w:start w:val="1"/>
      <w:numFmt w:val="decimal"/>
      <w:lvlText w:val="%1.%2.%3.%4."/>
      <w:lvlJc w:val="left"/>
      <w:pPr>
        <w:ind w:left="2077" w:hanging="648"/>
      </w:pPr>
    </w:lvl>
    <w:lvl w:ilvl="4">
      <w:start w:val="1"/>
      <w:numFmt w:val="decimal"/>
      <w:lvlText w:val="%1.%2.%3.%4.%5."/>
      <w:lvlJc w:val="left"/>
      <w:pPr>
        <w:ind w:left="2581" w:hanging="792"/>
      </w:pPr>
    </w:lvl>
    <w:lvl w:ilvl="5">
      <w:start w:val="1"/>
      <w:numFmt w:val="decimal"/>
      <w:lvlText w:val="%1.%2.%3.%4.%5.%6."/>
      <w:lvlJc w:val="left"/>
      <w:pPr>
        <w:ind w:left="3085" w:hanging="936"/>
      </w:pPr>
    </w:lvl>
    <w:lvl w:ilvl="6">
      <w:start w:val="1"/>
      <w:numFmt w:val="decimal"/>
      <w:lvlText w:val="%1.%2.%3.%4.%5.%6.%7."/>
      <w:lvlJc w:val="left"/>
      <w:pPr>
        <w:ind w:left="3589" w:hanging="1080"/>
      </w:pPr>
    </w:lvl>
    <w:lvl w:ilvl="7">
      <w:start w:val="1"/>
      <w:numFmt w:val="decimal"/>
      <w:lvlText w:val="%1.%2.%3.%4.%5.%6.%7.%8."/>
      <w:lvlJc w:val="left"/>
      <w:pPr>
        <w:ind w:left="4093" w:hanging="1224"/>
      </w:pPr>
    </w:lvl>
    <w:lvl w:ilvl="8">
      <w:start w:val="1"/>
      <w:numFmt w:val="decimal"/>
      <w:lvlText w:val="%1.%2.%3.%4.%5.%6.%7.%8.%9."/>
      <w:lvlJc w:val="left"/>
      <w:pPr>
        <w:ind w:left="4669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6939"/>
    <w:rsid w:val="00226939"/>
    <w:rsid w:val="003877A1"/>
    <w:rsid w:val="004758FE"/>
    <w:rsid w:val="004D2DBA"/>
    <w:rsid w:val="004E5709"/>
    <w:rsid w:val="004F27FE"/>
    <w:rsid w:val="004F399A"/>
    <w:rsid w:val="004F5FE5"/>
    <w:rsid w:val="005C7D62"/>
    <w:rsid w:val="006D54CE"/>
    <w:rsid w:val="006D736F"/>
    <w:rsid w:val="007875BD"/>
    <w:rsid w:val="009644CE"/>
    <w:rsid w:val="00A060D5"/>
    <w:rsid w:val="00A34628"/>
    <w:rsid w:val="00B22A1E"/>
    <w:rsid w:val="00B84816"/>
    <w:rsid w:val="00C4261D"/>
    <w:rsid w:val="00EA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C477C"/>
  <w15:docId w15:val="{BBBC0CB6-DE9B-4E71-88BC-F5EEA6BE3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939"/>
    <w:rPr>
      <w:rFonts w:ascii="Liberation Sans" w:eastAsia="Liberation Sans" w:hAnsi="Liberation Sans" w:cs="Liberation Sans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226939"/>
    <w:pPr>
      <w:keepNext/>
      <w:keepLines/>
      <w:spacing w:before="480"/>
      <w:outlineLvl w:val="0"/>
    </w:pPr>
    <w:rPr>
      <w:sz w:val="40"/>
      <w:szCs w:val="40"/>
    </w:rPr>
  </w:style>
  <w:style w:type="character" w:customStyle="1" w:styleId="Heading1Char">
    <w:name w:val="Heading 1 Char"/>
    <w:link w:val="11"/>
    <w:uiPriority w:val="9"/>
    <w:rsid w:val="00226939"/>
    <w:rPr>
      <w:rFonts w:ascii="Liberation Sans" w:eastAsia="Liberation Sans" w:hAnsi="Liberation Sans" w:cs="Liberation Sans"/>
    </w:rPr>
  </w:style>
  <w:style w:type="paragraph" w:customStyle="1" w:styleId="21">
    <w:name w:val="Заголовок 21"/>
    <w:basedOn w:val="11"/>
    <w:next w:val="a"/>
    <w:link w:val="Heading2Char"/>
    <w:uiPriority w:val="9"/>
    <w:unhideWhenUsed/>
    <w:qFormat/>
    <w:rsid w:val="00226939"/>
  </w:style>
  <w:style w:type="character" w:customStyle="1" w:styleId="Heading2Char">
    <w:name w:val="Heading 2 Char"/>
    <w:link w:val="21"/>
    <w:uiPriority w:val="9"/>
    <w:rsid w:val="00226939"/>
    <w:rPr>
      <w:rFonts w:ascii="Liberation Sans" w:eastAsia="Liberation Sans" w:hAnsi="Liberation Sans" w:cs="Liberation Sans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226939"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character" w:customStyle="1" w:styleId="Heading3Char">
    <w:name w:val="Heading 3 Char"/>
    <w:link w:val="31"/>
    <w:uiPriority w:val="9"/>
    <w:rsid w:val="00226939"/>
    <w:rPr>
      <w:rFonts w:ascii="Liberation Sans" w:hAnsi="Liberation Sans" w:cs="Liberation Sans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226939"/>
    <w:pPr>
      <w:keepNext/>
      <w:keepLines/>
      <w:spacing w:before="320"/>
      <w:outlineLvl w:val="3"/>
    </w:pPr>
    <w:rPr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226939"/>
    <w:rPr>
      <w:rFonts w:ascii="Liberation Sans" w:eastAsia="Liberation Sans" w:hAnsi="Liberation Sans" w:cs="Liberation Sans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226939"/>
    <w:pPr>
      <w:keepNext/>
      <w:keepLines/>
      <w:spacing w:before="320"/>
      <w:outlineLvl w:val="4"/>
    </w:pPr>
    <w:rPr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226939"/>
    <w:rPr>
      <w:rFonts w:ascii="Liberation Sans" w:eastAsia="Liberation Sans" w:hAnsi="Liberation Sans" w:cs="Liberation Sans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226939"/>
    <w:pPr>
      <w:keepNext/>
      <w:keepLines/>
      <w:spacing w:before="320"/>
      <w:outlineLvl w:val="5"/>
    </w:pPr>
    <w:rPr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226939"/>
    <w:rPr>
      <w:rFonts w:ascii="Liberation Sans" w:eastAsia="Liberation Sans" w:hAnsi="Liberation Sans" w:cs="Liberation Sans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226939"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226939"/>
    <w:rPr>
      <w:rFonts w:ascii="Liberation Sans" w:eastAsia="Liberation Sans" w:hAnsi="Liberation Sans" w:cs="Liberation Sans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226939"/>
    <w:pPr>
      <w:keepNext/>
      <w:keepLines/>
      <w:spacing w:before="320"/>
      <w:outlineLvl w:val="7"/>
    </w:pPr>
    <w:rPr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226939"/>
    <w:rPr>
      <w:rFonts w:ascii="Liberation Sans" w:eastAsia="Liberation Sans" w:hAnsi="Liberation Sans" w:cs="Liberation Sans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226939"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226939"/>
    <w:rPr>
      <w:rFonts w:ascii="Liberation Sans" w:eastAsia="Liberation Sans" w:hAnsi="Liberation Sans" w:cs="Liberation Sans"/>
    </w:rPr>
  </w:style>
  <w:style w:type="paragraph" w:styleId="a3">
    <w:name w:val="Title"/>
    <w:basedOn w:val="a"/>
    <w:next w:val="a"/>
    <w:link w:val="a4"/>
    <w:uiPriority w:val="10"/>
    <w:qFormat/>
    <w:rsid w:val="00226939"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sid w:val="00226939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226939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22693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22693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226939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2693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26939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22693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1"/>
    <w:uiPriority w:val="99"/>
    <w:rsid w:val="00226939"/>
  </w:style>
  <w:style w:type="paragraph" w:customStyle="1" w:styleId="10">
    <w:name w:val="Нижний колонтитул1"/>
    <w:basedOn w:val="a"/>
    <w:link w:val="CaptionChar"/>
    <w:uiPriority w:val="99"/>
    <w:unhideWhenUsed/>
    <w:rsid w:val="0022693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  <w:rsid w:val="00226939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226939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226939"/>
  </w:style>
  <w:style w:type="table" w:styleId="a9">
    <w:name w:val="Table Grid"/>
    <w:basedOn w:val="a1"/>
    <w:uiPriority w:val="59"/>
    <w:rsid w:val="002269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22693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22693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2693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2693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2693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226939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226939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226939"/>
    <w:rPr>
      <w:sz w:val="18"/>
    </w:rPr>
  </w:style>
  <w:style w:type="character" w:styleId="ad">
    <w:name w:val="footnote reference"/>
    <w:uiPriority w:val="99"/>
    <w:unhideWhenUsed/>
    <w:rsid w:val="00226939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226939"/>
    <w:pPr>
      <w:spacing w:after="0" w:line="240" w:lineRule="auto"/>
    </w:pPr>
  </w:style>
  <w:style w:type="character" w:customStyle="1" w:styleId="af">
    <w:name w:val="Текст концевой сноски Знак"/>
    <w:link w:val="ae"/>
    <w:uiPriority w:val="99"/>
    <w:rsid w:val="00226939"/>
    <w:rPr>
      <w:sz w:val="20"/>
    </w:rPr>
  </w:style>
  <w:style w:type="character" w:styleId="af0">
    <w:name w:val="endnote reference"/>
    <w:uiPriority w:val="99"/>
    <w:semiHidden/>
    <w:unhideWhenUsed/>
    <w:rsid w:val="00226939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226939"/>
    <w:pPr>
      <w:spacing w:after="57"/>
    </w:pPr>
  </w:style>
  <w:style w:type="paragraph" w:styleId="22">
    <w:name w:val="toc 2"/>
    <w:basedOn w:val="a"/>
    <w:next w:val="a"/>
    <w:uiPriority w:val="39"/>
    <w:unhideWhenUsed/>
    <w:rsid w:val="0022693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22693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22693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22693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22693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22693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22693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226939"/>
    <w:pPr>
      <w:spacing w:after="57"/>
      <w:ind w:left="2268"/>
    </w:pPr>
  </w:style>
  <w:style w:type="paragraph" w:styleId="af1">
    <w:name w:val="TOC Heading"/>
    <w:uiPriority w:val="39"/>
    <w:unhideWhenUsed/>
    <w:rsid w:val="00226939"/>
  </w:style>
  <w:style w:type="paragraph" w:styleId="af2">
    <w:name w:val="table of figures"/>
    <w:basedOn w:val="a"/>
    <w:next w:val="a"/>
    <w:uiPriority w:val="99"/>
    <w:unhideWhenUsed/>
    <w:rsid w:val="00226939"/>
    <w:pPr>
      <w:spacing w:after="0"/>
    </w:pPr>
  </w:style>
  <w:style w:type="paragraph" w:styleId="af3">
    <w:name w:val="No Spacing"/>
    <w:basedOn w:val="a"/>
    <w:uiPriority w:val="1"/>
    <w:qFormat/>
    <w:rsid w:val="00226939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226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1540</Words>
  <Characters>8781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Ерилов Валерий Васильевич</dc:creator>
  <cp:lastModifiedBy>Валерий</cp:lastModifiedBy>
  <cp:revision>4</cp:revision>
  <dcterms:created xsi:type="dcterms:W3CDTF">2025-04-25T02:13:00Z</dcterms:created>
  <dcterms:modified xsi:type="dcterms:W3CDTF">2026-09-30T08:02:00Z</dcterms:modified>
</cp:coreProperties>
</file>